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1E02DF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1E02DF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CD064C">
        <w:rPr>
          <w:rFonts w:ascii="Times New Roman" w:hAnsi="Times New Roman"/>
          <w:b/>
          <w:sz w:val="24"/>
          <w:szCs w:val="24"/>
          <w:u w:val="single"/>
        </w:rPr>
        <w:t>694</w:t>
      </w:r>
      <w:r w:rsidR="00785296">
        <w:rPr>
          <w:rFonts w:ascii="Times New Roman" w:hAnsi="Times New Roman"/>
          <w:b/>
          <w:sz w:val="24"/>
          <w:szCs w:val="24"/>
          <w:u w:val="single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B804F0">
        <w:rPr>
          <w:sz w:val="24"/>
          <w:szCs w:val="24"/>
        </w:rPr>
        <w:t xml:space="preserve"> </w:t>
      </w:r>
      <w:r w:rsidR="00CD064C">
        <w:rPr>
          <w:sz w:val="24"/>
          <w:szCs w:val="24"/>
        </w:rPr>
        <w:t xml:space="preserve">  </w:t>
      </w:r>
      <w:r w:rsidR="00CD064C">
        <w:rPr>
          <w:sz w:val="24"/>
          <w:szCs w:val="24"/>
          <w:u w:val="single"/>
        </w:rPr>
        <w:t>04.  11</w:t>
      </w:r>
      <w:r w:rsidR="00785296">
        <w:rPr>
          <w:sz w:val="24"/>
          <w:szCs w:val="24"/>
          <w:u w:val="single"/>
        </w:rPr>
        <w:t>_/2019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Pr="00A670AB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670AB">
        <w:rPr>
          <w:rFonts w:ascii="Arial" w:hAnsi="Arial" w:cs="Arial"/>
        </w:rPr>
        <w:t xml:space="preserve">Sealed quotations are invited fromregistered Firms/Agencies/Suppliers having valid PAN/GSTIN/Registration documents to supply </w:t>
      </w:r>
      <w:r w:rsidR="002863F1">
        <w:rPr>
          <w:rFonts w:ascii="Arial" w:hAnsi="Arial" w:cs="Arial"/>
        </w:rPr>
        <w:t xml:space="preserve">of </w:t>
      </w:r>
      <w:r w:rsidR="00841E37">
        <w:rPr>
          <w:rFonts w:ascii="Arial" w:hAnsi="Arial" w:cs="Arial"/>
        </w:rPr>
        <w:t>networking of laboratory</w:t>
      </w:r>
      <w:r w:rsidRPr="00A670AB">
        <w:rPr>
          <w:rFonts w:ascii="Arial" w:hAnsi="Arial" w:cs="Arial"/>
        </w:rPr>
        <w:t xml:space="preserve">, </w:t>
      </w:r>
      <w:r w:rsidR="00DE1CDB" w:rsidRPr="00A670AB">
        <w:rPr>
          <w:rFonts w:ascii="Arial" w:hAnsi="Arial" w:cs="Arial"/>
        </w:rPr>
        <w:t>Instrumentation &amp; Electronics</w:t>
      </w:r>
      <w:r w:rsidRPr="00A670AB">
        <w:rPr>
          <w:rFonts w:ascii="Arial" w:hAnsi="Arial" w:cs="Arial"/>
        </w:rPr>
        <w:t xml:space="preserve"> Engineering Department, CET Bhubaneswar</w:t>
      </w:r>
      <w:r w:rsidR="001B2E9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as specified below.</w:t>
      </w:r>
    </w:p>
    <w:tbl>
      <w:tblPr>
        <w:tblpPr w:leftFromText="180" w:rightFromText="180" w:vertAnchor="page" w:horzAnchor="margin" w:tblpXSpec="center" w:tblpY="498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75"/>
        <w:gridCol w:w="5670"/>
        <w:gridCol w:w="1350"/>
      </w:tblGrid>
      <w:tr w:rsidR="006711EC" w:rsidRPr="00A670AB" w:rsidTr="006711EC">
        <w:trPr>
          <w:trHeight w:val="456"/>
        </w:trPr>
        <w:tc>
          <w:tcPr>
            <w:tcW w:w="630" w:type="dxa"/>
          </w:tcPr>
          <w:p w:rsidR="006711EC" w:rsidRPr="00A670AB" w:rsidRDefault="006711EC" w:rsidP="006711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Sl. No.</w:t>
            </w:r>
          </w:p>
        </w:tc>
        <w:tc>
          <w:tcPr>
            <w:tcW w:w="1975" w:type="dxa"/>
          </w:tcPr>
          <w:p w:rsidR="006711EC" w:rsidRPr="00A670AB" w:rsidRDefault="006711EC" w:rsidP="006711EC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 xml:space="preserve">Name of Instruments </w:t>
            </w:r>
          </w:p>
        </w:tc>
        <w:tc>
          <w:tcPr>
            <w:tcW w:w="5670" w:type="dxa"/>
          </w:tcPr>
          <w:p w:rsidR="006711EC" w:rsidRPr="00A670AB" w:rsidRDefault="006711EC" w:rsidP="0067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Specifications</w:t>
            </w:r>
          </w:p>
        </w:tc>
        <w:tc>
          <w:tcPr>
            <w:tcW w:w="1350" w:type="dxa"/>
          </w:tcPr>
          <w:p w:rsidR="006711EC" w:rsidRPr="00A670AB" w:rsidRDefault="006711EC" w:rsidP="0067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Qty. Required</w:t>
            </w:r>
          </w:p>
        </w:tc>
      </w:tr>
      <w:tr w:rsidR="006711EC" w:rsidRPr="00A670AB" w:rsidTr="006711EC">
        <w:trPr>
          <w:trHeight w:val="456"/>
        </w:trPr>
        <w:tc>
          <w:tcPr>
            <w:tcW w:w="630" w:type="dxa"/>
          </w:tcPr>
          <w:p w:rsidR="006711EC" w:rsidRPr="00841E37" w:rsidRDefault="006711EC" w:rsidP="003271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6711EC" w:rsidRPr="00E06227" w:rsidRDefault="00E06227" w:rsidP="003271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24 port </w:t>
            </w:r>
            <w:r w:rsidR="00327188">
              <w:rPr>
                <w:rFonts w:ascii="Arial" w:eastAsia="Calibri" w:hAnsi="Arial" w:cs="Arial"/>
                <w:lang w:val="en-IN"/>
              </w:rPr>
              <w:t xml:space="preserve">layer-2 Gigabyte Switch </w:t>
            </w:r>
          </w:p>
        </w:tc>
        <w:tc>
          <w:tcPr>
            <w:tcW w:w="5670" w:type="dxa"/>
          </w:tcPr>
          <w:p w:rsidR="00A6582F" w:rsidRPr="00A6582F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>20 Ports 10/100/1000 Base-T  with  4 Combo 10/100/1000 Base-T/SFP ports</w:t>
            </w:r>
          </w:p>
          <w:p w:rsidR="00A6582F" w:rsidRPr="00A6582F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>• Support Optional Redundant Power Supply and Smart Fans</w:t>
            </w:r>
          </w:p>
          <w:p w:rsidR="00A6582F" w:rsidRPr="00A6582F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>• Equipped with SD Card slot for configuration backup</w:t>
            </w:r>
          </w:p>
          <w:p w:rsidR="00A6582F" w:rsidRPr="00A6582F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>• Support  ITU-T G.8032 Ethernet Ring Protection Switching (ERPS),</w:t>
            </w:r>
          </w:p>
          <w:p w:rsidR="00A6582F" w:rsidRPr="00A6582F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 xml:space="preserve">• Switch supports a two rate and single-rate Three </w:t>
            </w:r>
            <w:proofErr w:type="spellStart"/>
            <w:r w:rsidRPr="00A6582F">
              <w:rPr>
                <w:rFonts w:ascii="Arial" w:hAnsi="Arial" w:cs="Arial"/>
                <w:color w:val="666666"/>
                <w:lang w:val="en-IN" w:eastAsia="en-IN"/>
              </w:rPr>
              <w:t>Color</w:t>
            </w:r>
            <w:proofErr w:type="spellEnd"/>
            <w:r w:rsidRPr="00A6582F">
              <w:rPr>
                <w:rFonts w:ascii="Arial" w:hAnsi="Arial" w:cs="Arial"/>
                <w:color w:val="666666"/>
                <w:lang w:val="en-IN" w:eastAsia="en-IN"/>
              </w:rPr>
              <w:t xml:space="preserve"> Marker (</w:t>
            </w:r>
            <w:proofErr w:type="spellStart"/>
            <w:r w:rsidRPr="00A6582F">
              <w:rPr>
                <w:rFonts w:ascii="Arial" w:hAnsi="Arial" w:cs="Arial"/>
                <w:color w:val="666666"/>
                <w:lang w:val="en-IN" w:eastAsia="en-IN"/>
              </w:rPr>
              <w:t>trTCM</w:t>
            </w:r>
            <w:proofErr w:type="spellEnd"/>
            <w:r w:rsidRPr="00A6582F">
              <w:rPr>
                <w:rFonts w:ascii="Arial" w:hAnsi="Arial" w:cs="Arial"/>
                <w:color w:val="666666"/>
                <w:lang w:val="en-IN" w:eastAsia="en-IN"/>
              </w:rPr>
              <w:t>/</w:t>
            </w:r>
            <w:proofErr w:type="spellStart"/>
            <w:r w:rsidRPr="00A6582F">
              <w:rPr>
                <w:rFonts w:ascii="Arial" w:hAnsi="Arial" w:cs="Arial"/>
                <w:color w:val="666666"/>
                <w:lang w:val="en-IN" w:eastAsia="en-IN"/>
              </w:rPr>
              <w:t>srTCM</w:t>
            </w:r>
            <w:proofErr w:type="spellEnd"/>
            <w:r w:rsidRPr="00A6582F">
              <w:rPr>
                <w:rFonts w:ascii="Arial" w:hAnsi="Arial" w:cs="Arial"/>
                <w:color w:val="666666"/>
                <w:lang w:val="en-IN" w:eastAsia="en-IN"/>
              </w:rPr>
              <w:t>)</w:t>
            </w:r>
          </w:p>
          <w:p w:rsidR="00A6582F" w:rsidRPr="00A6582F" w:rsidRDefault="002155EE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>
              <w:rPr>
                <w:rFonts w:ascii="Arial" w:hAnsi="Arial" w:cs="Arial"/>
                <w:color w:val="666666"/>
                <w:lang w:val="en-IN" w:eastAsia="en-IN"/>
              </w:rPr>
              <w:t>• Support 802.1</w:t>
            </w:r>
            <w:r w:rsidR="00A6582F" w:rsidRPr="00A6582F">
              <w:rPr>
                <w:rFonts w:ascii="Arial" w:hAnsi="Arial" w:cs="Arial"/>
                <w:color w:val="666666"/>
                <w:lang w:val="en-IN" w:eastAsia="en-IN"/>
              </w:rPr>
              <w:t xml:space="preserve"> </w:t>
            </w:r>
            <w:proofErr w:type="spellStart"/>
            <w:r w:rsidR="00A6582F" w:rsidRPr="00A6582F">
              <w:rPr>
                <w:rFonts w:ascii="Arial" w:hAnsi="Arial" w:cs="Arial"/>
                <w:color w:val="666666"/>
                <w:lang w:val="en-IN" w:eastAsia="en-IN"/>
              </w:rPr>
              <w:t>ag</w:t>
            </w:r>
            <w:proofErr w:type="spellEnd"/>
            <w:r w:rsidR="00A6582F" w:rsidRPr="00A6582F">
              <w:rPr>
                <w:rFonts w:ascii="Arial" w:hAnsi="Arial" w:cs="Arial"/>
                <w:color w:val="666666"/>
                <w:lang w:val="en-IN" w:eastAsia="en-IN"/>
              </w:rPr>
              <w:t xml:space="preserve"> Connectivity Fault Management (CFM) and  802.3 ah Ethernet OAM</w:t>
            </w:r>
          </w:p>
          <w:p w:rsidR="00A6582F" w:rsidRPr="00A6582F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>• Support 802.1 V protocol VLAN, ISM VLAN,  Double VLAN (Q-in-Q) and Selective Q-in-Q</w:t>
            </w:r>
          </w:p>
          <w:p w:rsidR="00A6582F" w:rsidRPr="00A6582F" w:rsidRDefault="006F6A73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6F6A73">
              <w:rPr>
                <w:rFonts w:ascii="Arial" w:hAnsi="Arial" w:cs="Arial"/>
                <w:color w:val="666666"/>
                <w:lang w:val="en-IN" w:eastAsia="en-IN"/>
              </w:rPr>
              <w:t xml:space="preserve"> </w:t>
            </w:r>
            <w:r w:rsidR="00A6582F" w:rsidRPr="00A6582F">
              <w:rPr>
                <w:rFonts w:ascii="Arial" w:hAnsi="Arial" w:cs="Arial"/>
                <w:color w:val="666666"/>
                <w:lang w:val="en-IN" w:eastAsia="en-IN"/>
              </w:rPr>
              <w:t>• Built-in 2 x 10G CX4 Stacking  Ports, Stackable up to 6 Units, support 40G Stacking bandwidth</w:t>
            </w:r>
          </w:p>
          <w:p w:rsidR="00A6582F" w:rsidRPr="00A6582F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Arial" w:hAnsi="Arial" w:cs="Arial"/>
                <w:color w:val="666666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>• Comprehensive Security – Multi-layer and Packet Content (ACL), (IMPB) with DHCP Snooping</w:t>
            </w:r>
          </w:p>
          <w:p w:rsidR="006711EC" w:rsidRPr="006F6A73" w:rsidRDefault="00A6582F" w:rsidP="006F6A73">
            <w:pPr>
              <w:shd w:val="clear" w:color="auto" w:fill="FFFFFF"/>
              <w:spacing w:after="150" w:line="240" w:lineRule="auto"/>
              <w:outlineLvl w:val="4"/>
              <w:rPr>
                <w:rFonts w:ascii="Open Sans" w:hAnsi="Open Sans"/>
                <w:color w:val="666666"/>
                <w:sz w:val="21"/>
                <w:szCs w:val="21"/>
                <w:lang w:val="en-IN" w:eastAsia="en-IN"/>
              </w:rPr>
            </w:pPr>
            <w:r w:rsidRPr="00A6582F">
              <w:rPr>
                <w:rFonts w:ascii="Arial" w:hAnsi="Arial" w:cs="Arial"/>
                <w:color w:val="666666"/>
                <w:lang w:val="en-IN" w:eastAsia="en-IN"/>
              </w:rPr>
              <w:t>• Identity Driven Network Policies such as 802.1X,  WAC, and MAC-based Access Control (MAC)</w:t>
            </w:r>
          </w:p>
        </w:tc>
        <w:tc>
          <w:tcPr>
            <w:tcW w:w="1350" w:type="dxa"/>
          </w:tcPr>
          <w:p w:rsidR="006711EC" w:rsidRPr="00A670AB" w:rsidRDefault="00871D66" w:rsidP="0032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01no</w:t>
            </w:r>
          </w:p>
        </w:tc>
      </w:tr>
      <w:tr w:rsidR="00841E37" w:rsidRPr="00A670AB" w:rsidTr="006711EC">
        <w:trPr>
          <w:trHeight w:val="456"/>
        </w:trPr>
        <w:tc>
          <w:tcPr>
            <w:tcW w:w="630" w:type="dxa"/>
          </w:tcPr>
          <w:p w:rsidR="00841E37" w:rsidRPr="00841E37" w:rsidRDefault="00841E37" w:rsidP="003271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841E37" w:rsidRPr="00E06227" w:rsidRDefault="00871D66" w:rsidP="003271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I/O Box</w:t>
            </w:r>
          </w:p>
        </w:tc>
        <w:tc>
          <w:tcPr>
            <w:tcW w:w="5670" w:type="dxa"/>
          </w:tcPr>
          <w:p w:rsidR="00841E37" w:rsidRPr="00E06227" w:rsidRDefault="00841E37" w:rsidP="00327188">
            <w:pPr>
              <w:spacing w:after="0" w:line="240" w:lineRule="auto"/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</w:pPr>
          </w:p>
        </w:tc>
        <w:tc>
          <w:tcPr>
            <w:tcW w:w="1350" w:type="dxa"/>
          </w:tcPr>
          <w:p w:rsidR="00841E37" w:rsidRPr="00A670AB" w:rsidRDefault="00871D66" w:rsidP="0032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24nos</w:t>
            </w:r>
          </w:p>
        </w:tc>
      </w:tr>
      <w:tr w:rsidR="00841E37" w:rsidRPr="00A670AB" w:rsidTr="006711EC">
        <w:trPr>
          <w:trHeight w:val="456"/>
        </w:trPr>
        <w:tc>
          <w:tcPr>
            <w:tcW w:w="630" w:type="dxa"/>
          </w:tcPr>
          <w:p w:rsidR="00841E37" w:rsidRPr="00841E37" w:rsidRDefault="00841E37" w:rsidP="003271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841E37" w:rsidRPr="00E06227" w:rsidRDefault="00871D66" w:rsidP="003271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CAT 6 Cable</w:t>
            </w:r>
          </w:p>
        </w:tc>
        <w:tc>
          <w:tcPr>
            <w:tcW w:w="5670" w:type="dxa"/>
          </w:tcPr>
          <w:p w:rsidR="00841E37" w:rsidRPr="00E06227" w:rsidRDefault="00841E37" w:rsidP="00327188">
            <w:pPr>
              <w:spacing w:after="0" w:line="240" w:lineRule="auto"/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</w:pPr>
          </w:p>
        </w:tc>
        <w:tc>
          <w:tcPr>
            <w:tcW w:w="1350" w:type="dxa"/>
          </w:tcPr>
          <w:p w:rsidR="00841E37" w:rsidRPr="00A670AB" w:rsidRDefault="00871D66" w:rsidP="0032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2 coil</w:t>
            </w:r>
          </w:p>
        </w:tc>
      </w:tr>
      <w:tr w:rsidR="00841E37" w:rsidRPr="00A670AB" w:rsidTr="006711EC">
        <w:trPr>
          <w:trHeight w:val="456"/>
        </w:trPr>
        <w:tc>
          <w:tcPr>
            <w:tcW w:w="630" w:type="dxa"/>
          </w:tcPr>
          <w:p w:rsidR="00841E37" w:rsidRPr="00841E37" w:rsidRDefault="00841E37" w:rsidP="003271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841E37" w:rsidRPr="00E06227" w:rsidRDefault="00871D66" w:rsidP="003271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9U Rack</w:t>
            </w:r>
          </w:p>
        </w:tc>
        <w:tc>
          <w:tcPr>
            <w:tcW w:w="5670" w:type="dxa"/>
          </w:tcPr>
          <w:p w:rsidR="00665F26" w:rsidRPr="003F53B0" w:rsidRDefault="00665F26" w:rsidP="00665F26">
            <w:pPr>
              <w:spacing w:after="0"/>
              <w:rPr>
                <w:rFonts w:ascii="Arial" w:hAnsi="Arial" w:cs="Arial"/>
              </w:rPr>
            </w:pPr>
            <w:r w:rsidRPr="003F53B0">
              <w:rPr>
                <w:rFonts w:ascii="Arial" w:hAnsi="Arial" w:cs="Arial"/>
              </w:rPr>
              <w:t xml:space="preserve">Dimensions: 9U 19", 480x600x440 mm, (H x W x D) </w:t>
            </w:r>
          </w:p>
          <w:p w:rsidR="00665F26" w:rsidRPr="003F53B0" w:rsidRDefault="00665F26" w:rsidP="00665F26">
            <w:pPr>
              <w:spacing w:after="0"/>
              <w:rPr>
                <w:rFonts w:ascii="Arial" w:hAnsi="Arial" w:cs="Arial"/>
              </w:rPr>
            </w:pPr>
            <w:r w:rsidRPr="003F53B0">
              <w:rPr>
                <w:rFonts w:ascii="Arial" w:hAnsi="Arial" w:cs="Arial"/>
              </w:rPr>
              <w:t>Type: wall-mounted, welded body , Door: glass</w:t>
            </w:r>
          </w:p>
          <w:p w:rsidR="00841E37" w:rsidRPr="00B5634E" w:rsidRDefault="00665F26" w:rsidP="00665F26">
            <w:pPr>
              <w:spacing w:after="0"/>
              <w:rPr>
                <w:rFonts w:ascii="Arial" w:hAnsi="Arial" w:cs="Arial"/>
              </w:rPr>
            </w:pPr>
            <w:r w:rsidRPr="003F53B0">
              <w:rPr>
                <w:rFonts w:ascii="Arial" w:hAnsi="Arial" w:cs="Arial"/>
              </w:rPr>
              <w:t xml:space="preserve">Cable entry: top + bottom, 50 x 260mm, Mounting profiles: 1 pair (front) , Fan cut-off: yes , </w:t>
            </w:r>
            <w:proofErr w:type="spellStart"/>
            <w:r w:rsidRPr="003F53B0">
              <w:rPr>
                <w:rFonts w:ascii="Arial" w:hAnsi="Arial" w:cs="Arial"/>
              </w:rPr>
              <w:t>Colour</w:t>
            </w:r>
            <w:proofErr w:type="spellEnd"/>
            <w:r w:rsidRPr="003F53B0">
              <w:rPr>
                <w:rFonts w:ascii="Arial" w:hAnsi="Arial" w:cs="Arial"/>
              </w:rPr>
              <w:t>: RAL 7035 (grey)</w:t>
            </w:r>
            <w:r w:rsidR="00B5634E">
              <w:rPr>
                <w:rFonts w:ascii="Arial" w:hAnsi="Arial" w:cs="Arial"/>
              </w:rPr>
              <w:t xml:space="preserve">, </w:t>
            </w:r>
            <w:r w:rsidRPr="003F53B0">
              <w:rPr>
                <w:rFonts w:ascii="Arial" w:hAnsi="Arial" w:cs="Arial"/>
              </w:rPr>
              <w:t>Protection degree: IP 20,PDU</w:t>
            </w:r>
          </w:p>
        </w:tc>
        <w:tc>
          <w:tcPr>
            <w:tcW w:w="1350" w:type="dxa"/>
          </w:tcPr>
          <w:p w:rsidR="00841E37" w:rsidRPr="00A670AB" w:rsidRDefault="00871D66" w:rsidP="0032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1no</w:t>
            </w:r>
          </w:p>
        </w:tc>
      </w:tr>
      <w:tr w:rsidR="00841E37" w:rsidRPr="00A670AB" w:rsidTr="006711EC">
        <w:trPr>
          <w:trHeight w:val="456"/>
        </w:trPr>
        <w:tc>
          <w:tcPr>
            <w:tcW w:w="630" w:type="dxa"/>
          </w:tcPr>
          <w:p w:rsidR="00841E37" w:rsidRPr="00841E37" w:rsidRDefault="00841E37" w:rsidP="003271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841E37" w:rsidRPr="00E06227" w:rsidRDefault="00871D66" w:rsidP="003271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Casing capping </w:t>
            </w:r>
          </w:p>
        </w:tc>
        <w:tc>
          <w:tcPr>
            <w:tcW w:w="5670" w:type="dxa"/>
          </w:tcPr>
          <w:p w:rsidR="00841E37" w:rsidRPr="00E06227" w:rsidRDefault="00841E37" w:rsidP="00327188">
            <w:pPr>
              <w:spacing w:after="0" w:line="240" w:lineRule="auto"/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</w:pPr>
          </w:p>
        </w:tc>
        <w:tc>
          <w:tcPr>
            <w:tcW w:w="1350" w:type="dxa"/>
          </w:tcPr>
          <w:p w:rsidR="00841E37" w:rsidRPr="00A670AB" w:rsidRDefault="00871D66" w:rsidP="0032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50nos</w:t>
            </w:r>
          </w:p>
        </w:tc>
      </w:tr>
      <w:tr w:rsidR="00871D66" w:rsidRPr="00A670AB" w:rsidTr="006711EC">
        <w:trPr>
          <w:trHeight w:val="456"/>
        </w:trPr>
        <w:tc>
          <w:tcPr>
            <w:tcW w:w="630" w:type="dxa"/>
          </w:tcPr>
          <w:p w:rsidR="00871D66" w:rsidRPr="00841E37" w:rsidRDefault="00871D66" w:rsidP="003271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871D66" w:rsidRDefault="00871D66" w:rsidP="00327188">
            <w:pPr>
              <w:spacing w:after="0"/>
              <w:jc w:val="both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Installation if any</w:t>
            </w:r>
          </w:p>
        </w:tc>
        <w:tc>
          <w:tcPr>
            <w:tcW w:w="5670" w:type="dxa"/>
          </w:tcPr>
          <w:p w:rsidR="00871D66" w:rsidRPr="00E06227" w:rsidRDefault="00871D66" w:rsidP="00327188">
            <w:pPr>
              <w:spacing w:after="0" w:line="240" w:lineRule="auto"/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</w:pPr>
          </w:p>
        </w:tc>
        <w:tc>
          <w:tcPr>
            <w:tcW w:w="1350" w:type="dxa"/>
          </w:tcPr>
          <w:p w:rsidR="00871D66" w:rsidRDefault="00871D66" w:rsidP="0032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</w:p>
        </w:tc>
      </w:tr>
    </w:tbl>
    <w:p w:rsidR="001E3C0A" w:rsidRPr="00A670AB" w:rsidRDefault="001E3C0A" w:rsidP="00327188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D77FF" w:rsidRPr="00A670AB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proofErr w:type="gramStart"/>
      <w:r w:rsidRPr="00A670AB">
        <w:rPr>
          <w:rFonts w:ascii="Arial" w:hAnsi="Arial" w:cs="Arial"/>
          <w:b/>
          <w:u w:val="single"/>
          <w:lang w:val="en-IN"/>
        </w:rPr>
        <w:t>Terms and Conditions</w:t>
      </w:r>
      <w:r w:rsidRPr="00A670AB">
        <w:rPr>
          <w:rFonts w:ascii="Arial" w:hAnsi="Arial" w:cs="Arial"/>
          <w:b/>
          <w:lang w:val="en-IN"/>
        </w:rPr>
        <w:t>.</w:t>
      </w:r>
      <w:proofErr w:type="gramEnd"/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 Engineering</w:t>
      </w:r>
      <w:r w:rsidRPr="00A670AB">
        <w:rPr>
          <w:rFonts w:ascii="Arial" w:eastAsiaTheme="minorEastAsia" w:hAnsi="Arial" w:cs="Arial"/>
          <w:lang w:val="en-IN"/>
        </w:rPr>
        <w:t xml:space="preserve"> department</w:t>
      </w:r>
      <w:r w:rsidRPr="00A670AB">
        <w:rPr>
          <w:rFonts w:ascii="Arial" w:eastAsiaTheme="minorEastAsia" w:hAnsi="Arial" w:cs="Arial"/>
        </w:rPr>
        <w:t>, CET, Bhubaneswar.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lastRenderedPageBreak/>
        <w:t xml:space="preserve">The Firms/Agencies/Suppliers should super scribe quotations for </w:t>
      </w:r>
      <w:r w:rsidRPr="00A670AB">
        <w:rPr>
          <w:rFonts w:ascii="Arial" w:hAnsi="Arial" w:cs="Arial"/>
          <w:b/>
        </w:rPr>
        <w:t xml:space="preserve">“Supply of equipment’s for </w:t>
      </w:r>
      <w:r w:rsidR="00557493" w:rsidRPr="00A670AB">
        <w:rPr>
          <w:rFonts w:ascii="Arial" w:hAnsi="Arial" w:cs="Arial"/>
          <w:b/>
        </w:rPr>
        <w:t xml:space="preserve">Communication </w:t>
      </w:r>
      <w:r w:rsidRPr="00A670AB">
        <w:rPr>
          <w:rFonts w:ascii="Arial" w:hAnsi="Arial" w:cs="Arial"/>
          <w:b/>
        </w:rPr>
        <w:t xml:space="preserve">laboratory, </w:t>
      </w:r>
      <w:r w:rsidR="00557493" w:rsidRPr="00A670AB">
        <w:rPr>
          <w:rFonts w:ascii="Arial" w:hAnsi="Arial" w:cs="Arial"/>
          <w:b/>
        </w:rPr>
        <w:t>Instrumentation and Electronics</w:t>
      </w:r>
      <w:r w:rsidRPr="00A670AB">
        <w:rPr>
          <w:rFonts w:ascii="Arial" w:hAnsi="Arial" w:cs="Arial"/>
          <w:b/>
        </w:rPr>
        <w:t xml:space="preserve"> Engineering Department, CET Bhubaneswar,” </w:t>
      </w:r>
      <w:r w:rsidRPr="00A670AB">
        <w:rPr>
          <w:rFonts w:ascii="Arial" w:hAnsi="Arial" w:cs="Arial"/>
        </w:rPr>
        <w:t>in bold letters on covered envelopes.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Delivery of materials and installation of the same in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</w:t>
      </w:r>
      <w:r w:rsidRPr="00A670AB">
        <w:rPr>
          <w:rFonts w:ascii="Arial" w:eastAsiaTheme="minorEastAsia" w:hAnsi="Arial" w:cs="Arial"/>
          <w:lang w:val="en-IN"/>
        </w:rPr>
        <w:t xml:space="preserve"> Engineering department</w:t>
      </w:r>
      <w:r w:rsidRPr="00A670AB">
        <w:rPr>
          <w:rFonts w:ascii="Arial" w:eastAsiaTheme="minorEastAsia" w:hAnsi="Arial" w:cs="Arial"/>
        </w:rPr>
        <w:t xml:space="preserve"> should be made within period or two weeks from the date of communication acceptance letter.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It will be responsibility of tenderer to provide necessary spares consumable which may be required during the installation at </w:t>
      </w:r>
      <w:proofErr w:type="gramStart"/>
      <w:r w:rsidRPr="00A670AB">
        <w:rPr>
          <w:rFonts w:ascii="Arial" w:eastAsiaTheme="minorEastAsia" w:hAnsi="Arial" w:cs="Arial"/>
        </w:rPr>
        <w:t>his own</w:t>
      </w:r>
      <w:proofErr w:type="gramEnd"/>
      <w:r w:rsidRPr="00A670AB">
        <w:rPr>
          <w:rFonts w:ascii="Arial" w:eastAsiaTheme="minorEastAsia" w:hAnsi="Arial" w:cs="Arial"/>
        </w:rPr>
        <w:t xml:space="preserve"> cost.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supplied materials shall be covered under two years or more comprehensive on side warranty period from the date of installation.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A670AB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C14EF" w:rsidRPr="002B0A89" w:rsidRDefault="006C14EF" w:rsidP="006C14E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 xml:space="preserve">The last date of submission of quotation is </w:t>
      </w:r>
      <w:r w:rsidR="006F0A6E">
        <w:rPr>
          <w:rFonts w:ascii="Arial" w:hAnsi="Arial" w:cs="Arial"/>
          <w:b/>
        </w:rPr>
        <w:t>21</w:t>
      </w:r>
      <w:r w:rsidRPr="00A670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Pr="00A670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2019</w:t>
      </w:r>
      <w:r w:rsidRPr="00A670AB">
        <w:rPr>
          <w:rFonts w:ascii="Arial" w:hAnsi="Arial" w:cs="Arial"/>
          <w:b/>
        </w:rPr>
        <w:t xml:space="preserve"> up to 3.00 PM </w:t>
      </w:r>
      <w:r w:rsidRPr="00A670AB">
        <w:rPr>
          <w:rFonts w:ascii="Arial" w:hAnsi="Arial" w:cs="Arial"/>
        </w:rPr>
        <w:t xml:space="preserve">addressing to the </w:t>
      </w:r>
      <w:r w:rsidRPr="00A670AB">
        <w:rPr>
          <w:rFonts w:ascii="Arial" w:hAnsi="Arial" w:cs="Arial"/>
          <w:b/>
        </w:rPr>
        <w:t xml:space="preserve">Principal, College of Engineering and Technology, Techno Campus, </w:t>
      </w:r>
      <w:proofErr w:type="spellStart"/>
      <w:r w:rsidRPr="00A670AB">
        <w:rPr>
          <w:rFonts w:ascii="Arial" w:hAnsi="Arial" w:cs="Arial"/>
          <w:b/>
        </w:rPr>
        <w:t>Kalinga</w:t>
      </w:r>
      <w:proofErr w:type="spellEnd"/>
      <w:r w:rsidRPr="00A670AB">
        <w:rPr>
          <w:rFonts w:ascii="Arial" w:hAnsi="Arial" w:cs="Arial"/>
          <w:b/>
        </w:rPr>
        <w:t xml:space="preserve"> Nagar, </w:t>
      </w:r>
      <w:proofErr w:type="spellStart"/>
      <w:r w:rsidRPr="00A670AB">
        <w:rPr>
          <w:rFonts w:ascii="Arial" w:hAnsi="Arial" w:cs="Arial"/>
          <w:b/>
        </w:rPr>
        <w:t>Ghatikia</w:t>
      </w:r>
      <w:proofErr w:type="spellEnd"/>
      <w:r w:rsidRPr="00A670AB">
        <w:rPr>
          <w:rFonts w:ascii="Arial" w:hAnsi="Arial" w:cs="Arial"/>
          <w:b/>
        </w:rPr>
        <w:t xml:space="preserve">, Bhubaneswar-751029 </w:t>
      </w:r>
      <w:r w:rsidRPr="00A670AB">
        <w:rPr>
          <w:rFonts w:ascii="Arial" w:hAnsi="Arial" w:cs="Arial"/>
        </w:rPr>
        <w:t xml:space="preserve">by Speed post/Registered post only. </w:t>
      </w:r>
      <w:r w:rsidRPr="002B0A89">
        <w:rPr>
          <w:rFonts w:ascii="Arial" w:hAnsi="Arial" w:cs="Arial"/>
        </w:rPr>
        <w:t xml:space="preserve">No hand </w:t>
      </w:r>
      <w:r>
        <w:rPr>
          <w:rFonts w:ascii="Arial" w:hAnsi="Arial" w:cs="Arial"/>
        </w:rPr>
        <w:t xml:space="preserve">or courier </w:t>
      </w:r>
      <w:r w:rsidRPr="002B0A89">
        <w:rPr>
          <w:rFonts w:ascii="Arial" w:hAnsi="Arial" w:cs="Arial"/>
        </w:rPr>
        <w:t>delivery will be accepted</w:t>
      </w:r>
      <w:r w:rsidRPr="00A670AB">
        <w:rPr>
          <w:rFonts w:ascii="Arial" w:hAnsi="Arial" w:cs="Arial"/>
        </w:rPr>
        <w:t>. The authority will not be responsible for any postal delay.</w:t>
      </w:r>
      <w:r>
        <w:rPr>
          <w:rFonts w:ascii="Arial" w:hAnsi="Arial" w:cs="Arial"/>
        </w:rPr>
        <w:t xml:space="preserve"> </w:t>
      </w:r>
      <w:r w:rsidRPr="002B0A89">
        <w:rPr>
          <w:rFonts w:ascii="Arial" w:hAnsi="Arial" w:cs="Arial"/>
        </w:rPr>
        <w:t>Quotation received after the scheduled date and time will not be accepted.</w:t>
      </w:r>
    </w:p>
    <w:p w:rsidR="00C301C2" w:rsidRPr="00A670AB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>The under signed has the right to accept or reject any or all of the quotations without assigning any reason thereof.</w:t>
      </w:r>
    </w:p>
    <w:p w:rsidR="00C301C2" w:rsidRPr="00A670AB" w:rsidRDefault="00C301C2" w:rsidP="00C301C2">
      <w:pPr>
        <w:spacing w:after="0" w:line="240" w:lineRule="auto"/>
        <w:jc w:val="both"/>
        <w:rPr>
          <w:rFonts w:ascii="Arial" w:hAnsi="Arial" w:cs="Arial"/>
        </w:rPr>
      </w:pPr>
    </w:p>
    <w:p w:rsidR="00C301C2" w:rsidRPr="00A670AB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</w:p>
    <w:p w:rsidR="00D920BB" w:rsidRPr="00A670AB" w:rsidRDefault="009C48BA" w:rsidP="009C48BA">
      <w:pPr>
        <w:tabs>
          <w:tab w:val="left" w:pos="7455"/>
        </w:tabs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proofErr w:type="gramStart"/>
      <w:r w:rsidR="00A420A6">
        <w:rPr>
          <w:rFonts w:ascii="Arial" w:hAnsi="Arial" w:cs="Arial"/>
          <w:b/>
        </w:rPr>
        <w:t>Sd</w:t>
      </w:r>
      <w:proofErr w:type="spellEnd"/>
      <w:proofErr w:type="gramEnd"/>
      <w:r w:rsidR="00A420A6">
        <w:rPr>
          <w:rFonts w:ascii="Arial" w:hAnsi="Arial" w:cs="Arial"/>
          <w:b/>
        </w:rPr>
        <w:t>/-</w:t>
      </w:r>
    </w:p>
    <w:p w:rsidR="00C301C2" w:rsidRPr="00A670AB" w:rsidRDefault="00975A0C" w:rsidP="00975A0C">
      <w:pPr>
        <w:spacing w:after="0" w:line="240" w:lineRule="auto"/>
        <w:ind w:left="6480" w:right="-45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Head of Department</w:t>
      </w:r>
    </w:p>
    <w:sectPr w:rsidR="00C301C2" w:rsidRPr="00A670AB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F7AD0"/>
    <w:rsid w:val="00124A97"/>
    <w:rsid w:val="001320D4"/>
    <w:rsid w:val="0017680F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B1F0D"/>
    <w:rsid w:val="002B6ABB"/>
    <w:rsid w:val="002C336E"/>
    <w:rsid w:val="002D1030"/>
    <w:rsid w:val="002D38C4"/>
    <w:rsid w:val="00306B34"/>
    <w:rsid w:val="00327188"/>
    <w:rsid w:val="003413FE"/>
    <w:rsid w:val="00385479"/>
    <w:rsid w:val="0039370B"/>
    <w:rsid w:val="003B2398"/>
    <w:rsid w:val="003F53B0"/>
    <w:rsid w:val="00415B2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50C55"/>
    <w:rsid w:val="00557493"/>
    <w:rsid w:val="00562D2D"/>
    <w:rsid w:val="00595FB5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C14EF"/>
    <w:rsid w:val="006F0A6E"/>
    <w:rsid w:val="006F42C5"/>
    <w:rsid w:val="006F6A73"/>
    <w:rsid w:val="007032BD"/>
    <w:rsid w:val="007150C0"/>
    <w:rsid w:val="00721F24"/>
    <w:rsid w:val="00752FE2"/>
    <w:rsid w:val="007769AA"/>
    <w:rsid w:val="00785296"/>
    <w:rsid w:val="007905DC"/>
    <w:rsid w:val="007C6BED"/>
    <w:rsid w:val="007D3202"/>
    <w:rsid w:val="008116F0"/>
    <w:rsid w:val="00841E37"/>
    <w:rsid w:val="00841EA2"/>
    <w:rsid w:val="00871D66"/>
    <w:rsid w:val="008B2CA0"/>
    <w:rsid w:val="008B4836"/>
    <w:rsid w:val="00922377"/>
    <w:rsid w:val="00975A0C"/>
    <w:rsid w:val="00976EBB"/>
    <w:rsid w:val="00981873"/>
    <w:rsid w:val="00995931"/>
    <w:rsid w:val="009C010B"/>
    <w:rsid w:val="009C1E52"/>
    <w:rsid w:val="009C29FC"/>
    <w:rsid w:val="009C356F"/>
    <w:rsid w:val="009C48BA"/>
    <w:rsid w:val="009E26E7"/>
    <w:rsid w:val="00A420A6"/>
    <w:rsid w:val="00A572BC"/>
    <w:rsid w:val="00A63E73"/>
    <w:rsid w:val="00A6582F"/>
    <w:rsid w:val="00A670AB"/>
    <w:rsid w:val="00A7264A"/>
    <w:rsid w:val="00A93BC3"/>
    <w:rsid w:val="00AA5B3E"/>
    <w:rsid w:val="00B03319"/>
    <w:rsid w:val="00B14BD7"/>
    <w:rsid w:val="00B5634E"/>
    <w:rsid w:val="00B71FC8"/>
    <w:rsid w:val="00B804F0"/>
    <w:rsid w:val="00BA5073"/>
    <w:rsid w:val="00BB2100"/>
    <w:rsid w:val="00BB5EE2"/>
    <w:rsid w:val="00BD5350"/>
    <w:rsid w:val="00BE5938"/>
    <w:rsid w:val="00BF5D20"/>
    <w:rsid w:val="00C0796D"/>
    <w:rsid w:val="00C301C2"/>
    <w:rsid w:val="00C42ADA"/>
    <w:rsid w:val="00CC0C76"/>
    <w:rsid w:val="00CC643E"/>
    <w:rsid w:val="00CD064C"/>
    <w:rsid w:val="00CD77FF"/>
    <w:rsid w:val="00CE0816"/>
    <w:rsid w:val="00CE74BF"/>
    <w:rsid w:val="00D2725F"/>
    <w:rsid w:val="00D44C34"/>
    <w:rsid w:val="00D7006D"/>
    <w:rsid w:val="00D73CCF"/>
    <w:rsid w:val="00D74CA0"/>
    <w:rsid w:val="00D85951"/>
    <w:rsid w:val="00D920BB"/>
    <w:rsid w:val="00D92497"/>
    <w:rsid w:val="00DA4C66"/>
    <w:rsid w:val="00DD5B90"/>
    <w:rsid w:val="00DE1CDB"/>
    <w:rsid w:val="00DF07A3"/>
    <w:rsid w:val="00DF264D"/>
    <w:rsid w:val="00DF626B"/>
    <w:rsid w:val="00E06227"/>
    <w:rsid w:val="00E12097"/>
    <w:rsid w:val="00E86F2C"/>
    <w:rsid w:val="00EA447C"/>
    <w:rsid w:val="00EA5CB5"/>
    <w:rsid w:val="00EA644E"/>
    <w:rsid w:val="00EE3484"/>
    <w:rsid w:val="00EE5194"/>
    <w:rsid w:val="00F34B5F"/>
    <w:rsid w:val="00F4328E"/>
    <w:rsid w:val="00F51488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24</cp:revision>
  <cp:lastPrinted>2019-11-02T04:08:00Z</cp:lastPrinted>
  <dcterms:created xsi:type="dcterms:W3CDTF">2019-09-21T04:27:00Z</dcterms:created>
  <dcterms:modified xsi:type="dcterms:W3CDTF">2019-11-04T09:59:00Z</dcterms:modified>
</cp:coreProperties>
</file>